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8.png" ContentType="image/png"/>
  <Override PartName="/word/media/rId87.png" ContentType="image/png"/>
  <Override PartName="/word/media/rId84.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22</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however, due to budget constraints the spring 2021 effort was conducted over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ineffective methods were abandoned in subsequent years.</w:t>
      </w:r>
      <w:r>
        <w:t xml:space="preserve"> </w:t>
      </w:r>
      <w:r>
        <w:t xml:space="preserve">After evaluating all methods, angling proved to be the most effective method for capturing piscine predators while minimizing potential impacts to ESA-listed steelhead.</w:t>
      </w:r>
      <w:r>
        <w:t xml:space="preserve"> </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abundance estimators were employed to explore variation in estimates among them. Estimators fell into two broad categories: single-census and multiple-census. For the single census estimators, we treated the first week of sampling as the mark event, and the following (second) week as the recapture week, pooling data within each of those weeks. Alternatively, the multiple census estimators treat each day as a sampling occassion, and use information about the total marked fish from all previous occassions to infer the total abundance.</w:t>
      </w:r>
    </w:p>
    <w:p>
      <w:pPr>
        <w:pStyle w:val="BodyText"/>
      </w:pPr>
      <w:r>
        <w:t xml:space="preserve">For the single-census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number is the total number of fish marked and returned to the population during the first week of sampling (mark event),</w:t>
      </w:r>
      <w:r>
        <w:t xml:space="preserve"> </w:t>
      </w:r>
      <m:oMath>
        <m:r>
          <m:t>n</m:t>
        </m:r>
      </m:oMath>
      <w:r>
        <w:t xml:space="preserve"> </w:t>
      </w:r>
      <w:r>
        <w:t xml:space="preserve">is the total number of fish caught in the second week (recapture event), and</w:t>
      </w:r>
      <w:r>
        <w:t xml:space="preserve"> </w:t>
      </w:r>
      <m:oMath>
        <m:r>
          <m:t>m</m:t>
        </m:r>
      </m:oMath>
      <w:r>
        <w:t xml:space="preserve"> </w:t>
      </w:r>
      <w:r>
        <w:t xml:space="preserve">is the number of marked fish caught during the recapture event.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the sampling occassion,</w:t>
      </w:r>
      <w:r>
        <w:t xml:space="preserve"> </w:t>
      </w:r>
      <m:oMath>
        <m:r>
          <m:t>i</m:t>
        </m:r>
      </m:oMath>
      <w:r>
        <w:t xml:space="preserve">. Here,</w:t>
      </w:r>
      <w:r>
        <w:t xml:space="preserve"> </w:t>
      </w:r>
      <m:oMath>
        <m:r>
          <m:t>i</m:t>
        </m:r>
      </m:oMath>
      <w:r>
        <w:t xml:space="preserve"> </w:t>
      </w:r>
      <w:r>
        <w:t xml:space="preserve">is defined as each sampling day. The Schnabel estimator does not have an associated standard error; however, the 90%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to estimate the abundance of Northern Pikeminnow during spring 2021, which was not a mark-recapture design, we used the ratio of total CPUE in the fall sampling events to the total CPUE in the spring sampling event, then multiplied that ratio by the average abundance from the fall sampling events.</w:t>
      </w:r>
      <w:r>
        <w:t xml:space="preserve"> </w:t>
      </w:r>
      <w:r>
        <w:t xml:space="preserve">This approach assumes equal capture probabilities between the fall and spring capture events.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We used a weight-length formula</w:t>
      </w:r>
      <w:r>
        <w:t xml:space="preserve"> </w:t>
      </w:r>
      <w:r>
        <w:t xml:space="preserve">(Parker et al. 1995)</w:t>
      </w:r>
      <w:r>
        <w:t xml:space="preserve"> </w:t>
      </w:r>
      <w:r>
        <w:t xml:space="preserve">to calculate the predator start weight using the average length of Northern Pikeminnow captured in Deadwater Slough during our study. The average length of Northern Pikeminnow during the fall and spring were 352.9 and 393.7 mm, respectively, which calculated to average starting weights of 504.4 and 670.5 g. The assumption of zero growth was included to estimate consumption if individual Northern Pikeminnow were not growing and/or the population is stable, and so start and end weights are equal.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Our largest uncertainty for model parameters was the proportion of the Northern Pikeminnow diet consisting of fishes (e.g., juvenile Chinook Salmon) versus other food items like invertebrates. Therefore, we varied the proportion of the diet that was fish or invertebrates ranging from 10-90%, in 10% intervals, for both categories. Energy densities for invertebrates was fixed at 3,000 J/g.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(2 seasons and 9 diet scenarios). Each model run provided an estimate of the amount (grams) of fish consumed by an individual Northern Pikeminnow during the fall or spring time periods.</w:t>
      </w:r>
    </w:p>
    <w:p>
      <w:pPr>
        <w:pStyle w:val="BodyText"/>
      </w:pPr>
      <w:r>
        <w:t xml:space="preserve">To estimate the total biomass of fish potentially consumed by Northern Pikeminnow in Deadwater Slough, we then multiplied the biomass consumed by an individual Northern Pikeminnow for the timer period by the estimated population size for that time period (mean Schnabel estimates in the fall, CPUE ratio generated estimate in the spring). The total biomass was further converted to an estimate of the total number of Chinook salmon consumed by dividing by a weight of 10.3 for the fall and 10.9 for the spring, an average from juvenile Chinook Salmon captured during those date ranges at seven rotary screw traps located throughout the Upper Salmon upstream of Deadwater Slough.</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t xml:space="preserve">All the estimators yielded estimates with overlapping confidence intervals. Because the sampling design most closely matched a multiple census estimator, we feel the Schnabel estimator is the most appropriate. We examined diagnostic plots for that estimator (number of marks vs. proportion of recaptures) and they suggested that we were meeting the assumptions of the Schnabel estimator. Therefore, further results will be based on the Schnabel estimates of abundance.</w:t>
      </w:r>
    </w:p>
    <w:p>
      <w:pPr>
        <w:pStyle w:val="BodyText"/>
      </w:pPr>
      <w:r>
        <w:t xml:space="preserve">Using the mean of the Schnabel estimates of Northern Pikeminnow abundance across two fall sampling events, and the mean of the CPUE from those events as well, we estimated there to be 14,897 (95%CI: 7,610 - 31,747) Northern Pikeminnow in Deadwater Slough during spring of 2020.</w:t>
      </w:r>
    </w:p>
    <w:bookmarkEnd w:id="27"/>
    <w:bookmarkStart w:id="28"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the fish and we were able to confirm fish or fish remnants in 44. Expressed as a percentage, 22.4% of lavaged Northern Pikeminnow had stomach contents of which 12.6% we identified containing fish or fish remnants. Table</w:t>
      </w:r>
      <w:r>
        <w:t xml:space="preserve"> </w:t>
      </w:r>
      <w:r>
        <w:t xml:space="preserve">5</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 among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xx.x g of fish during the modeled fall time period (September 15 - November 30) and an additional xx.x g of fish during the modeled spring time period (March 1 - June 31). Given estimated population sizes of xx,xxx Northern Pikeminnow during fall and xx,xxx during spring, that would convert to xxx,xxx - xxx,xxx g during fall and xxx,xxx g during spring. Given average weights of 10.3 g for DSR Chinook salmon and 10.9 g for NRR Chinook salmon, we would estimate that xx,xxx and xx,xxx juvenile Chinook salmon could be consumed during the fall and spring emigrations in Deadwater Slough, respectively.</w:t>
      </w:r>
    </w:p>
    <w:p>
      <w:pPr>
        <w:pStyle w:val="BodyText"/>
      </w:pPr>
      <w:r>
        <w:t xml:space="preserve">The estimated number of Chinook Salmon consumed by Northern Pikeminnow begins to taper off between 30-90% of Pikeminnow diet. So although we are uncertain of that diet proportion, the impact of that uncertainty is somewhat constrained. We estimated the total juvenile outmigrants consumed (fall and spring) to be between 93,009 and 206,596. This translates to adult Chinook equivalents between 571 and 1,269 (Figure</w:t>
      </w:r>
      <w:r>
        <w:t xml:space="preserve"> </w:t>
      </w:r>
      <w:r>
        <w:t xml:space="preserve">6</w:t>
      </w:r>
      <w:r>
        <w:t xml:space="preserve">).</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p>
      <w:pPr>
        <w:pStyle w:val="FirstParagraph"/>
      </w:pPr>
      <w:r>
        <w:t xml:space="preserve">All estimators suggest a large number of Northern Pikeminnow occupying Deadwater Slough.</w:t>
      </w:r>
      <w:r>
        <w:t xml:space="preserve"> </w:t>
      </w:r>
    </w:p>
    <w:p>
      <w:pPr>
        <w:pStyle w:val="BodyText"/>
      </w:pPr>
      <w:r>
        <w:t xml:space="preserve">If the first mark-recapture assumption was violated and the population is actually open (potential immigration and emigration during the survey period), as long as the immigration and emigration rates are equal between marked and unmarked fsih, our estimators should still provide unbiased estimates of abundance. Given the size of the sampling area, and the length of the sampling period (two weeks).</w:t>
      </w:r>
    </w:p>
    <w:p>
      <w:pPr>
        <w:pStyle w:val="BodyText"/>
      </w:pPr>
      <w:r>
        <w:t xml:space="preserve">We are comfortable with assumptions 4 and 5 (no loss of marks and no mistaken or missed marks). Assumptions 2 and 3 indicate whether the second (and subsequent) surveys are random samples of the population. Angling methods may provide a size selection bias, but that may only affect the interpretation of the abundance estimates (i.e., our estimate are the abundance of Northern Pikeminnow above some size threshold). Unequal catchability between individual fish is very difficult to assess, especially if that heterogeneity arises from being caught once.</w:t>
      </w:r>
    </w:p>
    <w:p>
      <w:pPr>
        <w:pStyle w:val="BodyText"/>
      </w:pPr>
      <w:r>
        <w:t xml:space="preserve">The spring abundance estimate is smaller than either fall sampling event. However, our approach assumes equal capture probabilities betwee the fall and spring sampling events. If it does differ, we believe that the capture probability in the spring could be lower due to higher flows, which would lead to our spring abundance estimate being biased low. Therefore, we presume our abundance estimate of Northern Pikeminnow for the spring 2021 sampling event to be a conservative estimate.</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2"/>
    <w:bookmarkStart w:id="63"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Average CPUE and abundance in the fall (95% confidence interval), and CPUE and estimates of spring abundance (95% confidence interval) for Northern Pikeminnow in Deadwater Slough.</w:t>
      </w:r>
    </w:p>
    <w:tbl>
      <w:tblPr>
        <w:tblStyle w:val="Table"/>
        <w:tblW w:type="auto" w:w="0"/>
        <w:tblLook w:firstRow="1" w:lastRow="0" w:firstColumn="0" w:lastColumn="0" w:noHBand="0" w:noVBand="0" w:val="0020"/>
        <w:tblCaption w:val="Table 4: Average CPUE and abundance in the fall (95% confidence interval), and CPUE and estimates of spring abundance (95% confidence interval) for Northern Pikeminnow in Deadwater Slough."/>
      </w:tblPr>
      <w:tblGrid>
        <w:gridCol w:w="1584"/>
        <w:gridCol w:w="1584"/>
        <w:gridCol w:w="1584"/>
        <w:gridCol w:w="1584"/>
        <w:gridCol w:w="1584"/>
      </w:tblGrid>
      <w:tr>
        <w:trPr>
          <w:tblHeader w:val="true"/>
        </w:trPr>
        <w:tc>
          <w:tcPr/>
          <w:p>
            <w:pPr>
              <w:pStyle w:val="Compact"/>
              <w:jc w:val="left"/>
            </w:pPr>
            <w:r>
              <w:t xml:space="preserve">Species</w:t>
            </w:r>
          </w:p>
        </w:tc>
        <w:tc>
          <w:tcPr/>
          <w:p>
            <w:pPr>
              <w:pStyle w:val="Compact"/>
              <w:jc w:val="right"/>
            </w:pPr>
            <w:r>
              <w:t xml:space="preserve">Avg Fall CPUE</w:t>
            </w:r>
          </w:p>
        </w:tc>
        <w:tc>
          <w:tcPr/>
          <w:p>
            <w:pPr>
              <w:pStyle w:val="Compact"/>
              <w:jc w:val="right"/>
            </w:pPr>
            <w:r>
              <w:t xml:space="preserve">Spring CPUE</w:t>
            </w:r>
          </w:p>
        </w:tc>
        <w:tc>
          <w:tcPr/>
          <w:p>
            <w:pPr>
              <w:pStyle w:val="Compact"/>
              <w:jc w:val="left"/>
            </w:pPr>
            <w:r>
              <w:t xml:space="preserve">Avg. Fall N (CI)</w:t>
            </w:r>
          </w:p>
        </w:tc>
        <w:tc>
          <w:tcPr/>
          <w:p>
            <w:pPr>
              <w:pStyle w:val="Compact"/>
              <w:jc w:val="left"/>
            </w:pPr>
            <w:r>
              <w:t xml:space="preserve">Spring N (CI)</w:t>
            </w:r>
          </w:p>
        </w:tc>
      </w:tr>
      <w:tr>
        <w:tc>
          <w:tcPr/>
          <w:p>
            <w:pPr>
              <w:pStyle w:val="Compact"/>
              <w:jc w:val="left"/>
            </w:pPr>
            <w:r>
              <w:t xml:space="preserve">Northern Pikeminnow</w:t>
            </w:r>
          </w:p>
        </w:tc>
        <w:tc>
          <w:tcPr/>
          <w:p>
            <w:pPr>
              <w:pStyle w:val="Compact"/>
              <w:jc w:val="right"/>
            </w:pPr>
            <w:r>
              <w:t xml:space="preserve">1.53881</w:t>
            </w:r>
          </w:p>
        </w:tc>
        <w:tc>
          <w:tcPr/>
          <w:p>
            <w:pPr>
              <w:pStyle w:val="Compact"/>
              <w:jc w:val="right"/>
            </w:pPr>
            <w:r>
              <w:t xml:space="preserve">0.8145161</w:t>
            </w:r>
          </w:p>
        </w:tc>
        <w:tc>
          <w:tcPr/>
          <w:p>
            <w:pPr>
              <w:pStyle w:val="Compact"/>
              <w:jc w:val="left"/>
            </w:pPr>
            <w:r>
              <w:t xml:space="preserve">28,144 (14,378, 59,978)</w:t>
            </w:r>
          </w:p>
        </w:tc>
        <w:tc>
          <w:tcPr/>
          <w:p>
            <w:pPr>
              <w:pStyle w:val="Compact"/>
              <w:jc w:val="left"/>
            </w:pPr>
            <w:r>
              <w:t xml:space="preserve">14,897 (7,610, 31,747)</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6: Estimates of smolts consumed during fall migration by Northern Pikeminnow, and the adult equivalent of those smolts based on SARs.</w:t>
      </w:r>
    </w:p>
    <w:tbl>
      <w:tblPr>
        <w:tblStyle w:val="Table"/>
        <w:tblW w:type="auto" w:w="0"/>
        <w:tblLook w:firstRow="1" w:lastRow="0" w:firstColumn="0" w:lastColumn="0" w:noHBand="0" w:noVBand="0" w:val="0020"/>
        <w:tblCaption w:val="Table 6: Estimates of smolts consumed during fall migration by Northern Pikeminnow, and the adult equivalent of those smolts based on SARs."/>
      </w:tblPr>
      <w:tblGrid>
        <w:gridCol w:w="1980"/>
        <w:gridCol w:w="1980"/>
        <w:gridCol w:w="1980"/>
        <w:gridCol w:w="1980"/>
      </w:tblGrid>
      <w:tr>
        <w:trPr>
          <w:tblHeader w:val="true"/>
        </w:trPr>
        <w:tc>
          <w:tcPr/>
          <w:p>
            <w:pPr>
              <w:pStyle w:val="Compact"/>
              <w:jc w:val="left"/>
            </w:pPr>
            <w:r>
              <w:t xml:space="preserve">Stage</w:t>
            </w:r>
          </w:p>
        </w:tc>
        <w:tc>
          <w:tcPr/>
          <w:p>
            <w:pPr>
              <w:pStyle w:val="Compact"/>
              <w:jc w:val="right"/>
            </w:pPr>
            <w:r>
              <w:t xml:space="preserve">N</w:t>
            </w:r>
          </w:p>
        </w:tc>
        <w:tc>
          <w:tcPr/>
          <w:p>
            <w:pPr>
              <w:pStyle w:val="Compact"/>
              <w:jc w:val="right"/>
            </w:pPr>
            <w:r>
              <w:t xml:space="preserve">Lower 95% CI</w:t>
            </w:r>
          </w:p>
        </w:tc>
        <w:tc>
          <w:tcPr/>
          <w:p>
            <w:pPr>
              <w:pStyle w:val="Compact"/>
              <w:jc w:val="right"/>
            </w:pPr>
            <w:r>
              <w:t xml:space="preserve">Upper 95% CI</w:t>
            </w:r>
          </w:p>
        </w:tc>
      </w:tr>
      <w:tr>
        <w:tc>
          <w:tcPr/>
          <w:p>
            <w:pPr>
              <w:pStyle w:val="Compact"/>
              <w:jc w:val="left"/>
            </w:pPr>
            <w:r>
              <w:t xml:space="preserve">Smolt</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r>
      <w:tr>
        <w:tc>
          <w:tcPr/>
          <w:p>
            <w:pPr>
              <w:pStyle w:val="Compact"/>
              <w:jc w:val="left"/>
            </w:pPr>
            <w:r>
              <w:t xml:space="preserve">Smolt</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r>
      <w:tr>
        <w:tc>
          <w:tcPr/>
          <w:p>
            <w:pPr>
              <w:pStyle w:val="Compact"/>
              <w:jc w:val="left"/>
            </w:pPr>
            <w:r>
              <w:t xml:space="preserve">Smolt</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r>
      <w:tr>
        <w:tc>
          <w:tcPr/>
          <w:p>
            <w:pPr>
              <w:pStyle w:val="Compact"/>
              <w:jc w:val="left"/>
            </w:pPr>
            <w:r>
              <w:t xml:space="preserve">Smolt</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r>
      <w:tr>
        <w:tc>
          <w:tcPr/>
          <w:p>
            <w:pPr>
              <w:pStyle w:val="Compact"/>
              <w:jc w:val="left"/>
            </w:pPr>
            <w:r>
              <w:t xml:space="preserve">Smolt</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r>
      <w:tr>
        <w:tc>
          <w:tcPr/>
          <w:p>
            <w:pPr>
              <w:pStyle w:val="Compact"/>
              <w:jc w:val="left"/>
            </w:pPr>
            <w:r>
              <w:t xml:space="preserve">Smolt</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r>
      <w:tr>
        <w:tc>
          <w:tcPr/>
          <w:p>
            <w:pPr>
              <w:pStyle w:val="Compact"/>
              <w:jc w:val="left"/>
            </w:pPr>
            <w:r>
              <w:t xml:space="preserve">Smolt</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r>
      <w:tr>
        <w:tc>
          <w:tcPr/>
          <w:p>
            <w:pPr>
              <w:pStyle w:val="Compact"/>
              <w:jc w:val="left"/>
            </w:pPr>
            <w:r>
              <w:t xml:space="preserve">Smolt</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r>
      <w:tr>
        <w:tc>
          <w:tcPr/>
          <w:p>
            <w:pPr>
              <w:pStyle w:val="Compact"/>
              <w:jc w:val="left"/>
            </w:pPr>
            <w:r>
              <w:t xml:space="preserve">Smolt</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r>
      <w:tr>
        <w:tc>
          <w:tcPr/>
          <w:p>
            <w:pPr>
              <w:pStyle w:val="Compact"/>
              <w:jc w:val="left"/>
            </w:pPr>
            <w:r>
              <w:t xml:space="preserve">Smolt</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r>
      <w:tr>
        <w:tc>
          <w:tcPr/>
          <w:p>
            <w:pPr>
              <w:pStyle w:val="Compact"/>
              <w:jc w:val="left"/>
            </w:pPr>
            <w:r>
              <w:t xml:space="preserve">Smolt</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r>
      <w:tr>
        <w:tc>
          <w:tcPr/>
          <w:p>
            <w:pPr>
              <w:pStyle w:val="Compact"/>
              <w:jc w:val="left"/>
            </w:pPr>
            <w:r>
              <w:t xml:space="preserve">Smolt</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r>
      <w:tr>
        <w:tc>
          <w:tcPr/>
          <w:p>
            <w:pPr>
              <w:pStyle w:val="Compact"/>
              <w:jc w:val="left"/>
            </w:pPr>
            <w:r>
              <w:t xml:space="preserve">Smolt</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r>
      <w:tr>
        <w:tc>
          <w:tcPr/>
          <w:p>
            <w:pPr>
              <w:pStyle w:val="Compact"/>
              <w:jc w:val="left"/>
            </w:pPr>
            <w:r>
              <w:t xml:space="preserve">Smolt</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r>
      <w:tr>
        <w:tc>
          <w:tcPr/>
          <w:p>
            <w:pPr>
              <w:pStyle w:val="Compact"/>
              <w:jc w:val="left"/>
            </w:pPr>
            <w:r>
              <w:t xml:space="preserve">Smolt</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r>
      <w:tr>
        <w:tc>
          <w:tcPr/>
          <w:p>
            <w:pPr>
              <w:pStyle w:val="Compact"/>
              <w:jc w:val="left"/>
            </w:pPr>
            <w:r>
              <w:t xml:space="preserve">Smolt</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r>
      <w:tr>
        <w:tc>
          <w:tcPr/>
          <w:p>
            <w:pPr>
              <w:pStyle w:val="Compact"/>
              <w:jc w:val="left"/>
            </w:pPr>
            <w:r>
              <w:t xml:space="preserve">Smolt</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r>
      <w:tr>
        <w:tc>
          <w:tcPr/>
          <w:p>
            <w:pPr>
              <w:pStyle w:val="Compact"/>
              <w:jc w:val="left"/>
            </w:pPr>
            <w:r>
              <w:t xml:space="preserve">Smolt</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r>
      <w:tr>
        <w:tc>
          <w:tcPr/>
          <w:p>
            <w:pPr>
              <w:pStyle w:val="Compact"/>
              <w:jc w:val="left"/>
            </w:pPr>
            <w:r>
              <w:t xml:space="preserve">Adult Equivalent</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Adult Equivalent</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Adult Equivalent</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Adult Equivalent</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Adult Equivalent</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Adult Equivalent</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Adult Equivalent</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Adult Equivalent</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Adult Equivalent</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Adult Equivalent</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Adult Equivalent</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Adult Equivalent</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Adult Equivalent</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Adult Equivalent</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Adult Equivalent</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Adult Equivalent</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Adult Equivalent</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Adult Equivalent</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1"/>
    <w:bookmarkStart w:id="90" w:name="figures"/>
    <w:p>
      <w:pPr>
        <w:pStyle w:val="Heading1"/>
      </w:pPr>
      <w:r>
        <w:t xml:space="preserve">Figures</w:t>
      </w:r>
    </w:p>
    <w:bookmarkStart w:id="82" w:name="figures"/>
    <w:bookmarkEnd w:id="8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A length frequency plot.</w:t>
      </w:r>
    </w:p>
    <w:p>
      <w:r>
        <w:br w:type="page"/>
      </w:r>
    </w:p>
    <w:p>
      <w:pPr>
        <w:pStyle w:val="CaptionedFigure"/>
      </w:pPr>
      <w:r>
        <w:drawing>
          <wp:inline>
            <wp:extent cx="5504749" cy="3669832"/>
            <wp:effectExtent b="0" l="0" r="0" t="0"/>
            <wp:docPr descr="Figure 5: Temp." title="" id="1" name="Picture"/>
            <a:graphic>
              <a:graphicData uri="http://schemas.openxmlformats.org/drawingml/2006/picture">
                <pic:pic>
                  <pic:nvPicPr>
                    <pic:cNvPr descr="../figures/bio-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Temp.</w:t>
      </w:r>
    </w:p>
    <w:p>
      <w:r>
        <w:br w:type="page"/>
      </w:r>
    </w:p>
    <w:p>
      <w:pPr>
        <w:pStyle w:val="CaptionedFigure"/>
      </w:pPr>
      <w:r>
        <w:drawing>
          <wp:inline>
            <wp:extent cx="5504749" cy="3669832"/>
            <wp:effectExtent b="0" l="0" r="0" t="0"/>
            <wp:docPr descr="Figure 6: How many Chinook Salmon are consumed by Northern Pikeminnow, depending on what percent of diet is Chinook. Faceted by migration season and life-stage." title="" id="1" name="Picture"/>
            <a:graphic>
              <a:graphicData uri="http://schemas.openxmlformats.org/drawingml/2006/picture">
                <pic:pic>
                  <pic:nvPicPr>
                    <pic:cNvPr descr="../figures/adult-imp-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How many Chinook Salmon are consumed by Northern Pikeminnow, depending on what percent of diet is Chinook. Faceted by migration season and life-stage.</w:t>
      </w:r>
    </w:p>
    <w:p>
      <w:r>
        <w:br w:type="page"/>
      </w:r>
    </w:p>
    <w:bookmarkStart w:id="89" w:name="colophon"/>
    <w:p>
      <w:pPr>
        <w:pStyle w:val="Heading3"/>
      </w:pPr>
      <w:r>
        <w:t xml:space="preserve">Colophon</w:t>
      </w:r>
    </w:p>
    <w:p>
      <w:pPr>
        <w:pStyle w:val="FirstParagraph"/>
      </w:pPr>
      <w:r>
        <w:t xml:space="preserve">This report was generated on 2021-12-22 08:18:54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[9dd9bba] 2021-12-22: cleaned media folder</w:t>
      </w:r>
    </w:p>
    <w:bookmarkEnd w:id="89"/>
    <w:bookmarkEnd w:id="9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2021-12-22T15:18:57Z</dcterms:created>
  <dcterms:modified xsi:type="dcterms:W3CDTF">2021-12-22T15:18:57Z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22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